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525" w:type="dxa"/>
        <w:jc w:val="left"/>
        <w:tblInd w:w="-121" w:type="dxa"/>
        <w:tblLayout w:type="fixed"/>
        <w:tblCellMar>
          <w:top w:w="0" w:type="dxa"/>
          <w:left w:w="1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1194"/>
        <w:gridCol w:w="612"/>
        <w:gridCol w:w="344"/>
        <w:gridCol w:w="1441"/>
        <w:gridCol w:w="978"/>
        <w:gridCol w:w="728"/>
        <w:gridCol w:w="727"/>
        <w:gridCol w:w="243"/>
        <w:gridCol w:w="391"/>
        <w:gridCol w:w="1466"/>
        <w:gridCol w:w="935"/>
        <w:gridCol w:w="465"/>
      </w:tblGrid>
      <w:tr>
        <w:trPr>
          <w:trHeight w:val="510" w:hRule="atLeast"/>
        </w:trPr>
        <w:tc>
          <w:tcPr>
            <w:tcW w:w="1194" w:type="dxa"/>
            <w:tcBorders>
              <w:top w:val="single" w:sz="8" w:space="0" w:color="00000A"/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u w:val="single"/>
              </w:rPr>
            </w:pPr>
            <w:r>
              <w:rPr>
                <w:rFonts w:eastAsia="Arial Unicode MS" w:ascii="Arial" w:hAnsi="Arial"/>
                <w:b/>
                <w:u w:val="single"/>
              </w:rPr>
            </w:r>
          </w:p>
        </w:tc>
        <w:tc>
          <w:tcPr>
            <w:tcW w:w="612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344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1441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mc:AlternateContent>
                <mc:Choice Requires="wps">
                  <w:drawing>
                    <wp:anchor behindDoc="0" distT="0" distB="0" distL="0" distR="0" simplePos="0" locked="0" layoutInCell="1" allowOverlap="1" relativeHeight="2" wp14:anchorId="3D035BE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6640" cy="453390"/>
                      <wp:effectExtent l="0" t="0" r="0" b="0"/>
                      <wp:wrapNone/>
                      <wp:docPr id="1" name="Cuadro de texto 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6760" cy="45324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/>
                              <a:fillRef idx="0"/>
                              <a:effectRef idx="0"/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pStyle w:val="Contenidodelmarco"/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</w:rPr>
                                    <w:t>PLIEGO DE BASES Y CONDICIONES</w:t>
                                  </w:r>
                                </w:p>
                                <w:p>
                                  <w:pPr>
                                    <w:pStyle w:val="Contenidodelmarco"/>
                                    <w:jc w:val="center"/>
                                    <w:rPr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color w:val="000000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Cuadro de texto 1" path="m0,0l-2147483645,0l-2147483645,-2147483646l0,-2147483646xe" stroked="f" o:allowincell="f" style="position:absolute;margin-left:7.05pt;margin-top:8.45pt;width:283.15pt;height:35.65pt;mso-wrap-style:square;v-text-anchor:top" wp14:anchorId="3D035BE5">
                      <v:fill o:detectmouseclick="t" on="false"/>
                      <v:stroke color="#3465a4" joinstyle="round" endcap="flat"/>
                      <v:textbox>
                        <w:txbxContent>
                          <w:p>
                            <w:pPr>
                              <w:pStyle w:val="Contenidodelmarco"/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</w:rPr>
                              <w:t>PLIEGO DE BASES Y CONDICIONES</w:t>
                            </w:r>
                          </w:p>
                          <w:p>
                            <w:pPr>
                              <w:pStyle w:val="Contenidodelmarco"/>
                              <w:jc w:val="center"/>
                              <w:rPr/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  <w10:wrap type="none"/>
                    </v:rect>
                  </w:pict>
                </mc:Fallback>
              </mc:AlternateContent>
            </w:r>
          </w:p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  <w:p>
            <w:pPr>
              <w:pStyle w:val="Normal"/>
              <w:rPr>
                <w:sz w:val="20"/>
              </w:rPr>
            </w:pPr>
            <w:r>
              <w:rPr>
                <w:sz w:val="20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78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u w:val="single"/>
              </w:rPr>
            </w:pPr>
            <w:r>
              <w:rPr>
                <w:rFonts w:eastAsia="Arial Unicode MS" w:ascii="Arial" w:hAnsi="Arial"/>
                <w:b/>
                <w:u w:val="single"/>
              </w:rPr>
            </w:r>
          </w:p>
        </w:tc>
        <w:tc>
          <w:tcPr>
            <w:tcW w:w="728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727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243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391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1466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935" w:type="dxa"/>
            <w:tcBorders>
              <w:top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465" w:type="dxa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</w:tr>
      <w:tr>
        <w:trPr>
          <w:trHeight w:val="255" w:hRule="atLeast"/>
        </w:trPr>
        <w:tc>
          <w:tcPr>
            <w:tcW w:w="1194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612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144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97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sz w:val="20"/>
                <w:u w:val="single"/>
              </w:rPr>
            </w:pPr>
            <w:r>
              <w:rPr>
                <w:rFonts w:eastAsia="Arial Unicode MS" w:ascii="Arial" w:hAnsi="Arial"/>
                <w:b/>
                <w:sz w:val="20"/>
                <w:u w:val="single"/>
              </w:rPr>
            </w:r>
          </w:p>
        </w:tc>
        <w:tc>
          <w:tcPr>
            <w:tcW w:w="72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7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3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146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935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  <w:tc>
          <w:tcPr>
            <w:tcW w:w="46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20"/>
              </w:rPr>
            </w:pPr>
            <w:r>
              <w:rPr>
                <w:rFonts w:eastAsia="Arial Unicode MS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3591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933" w:type="dxa"/>
            <w:gridSpan w:val="8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PODER JUDICIAL DE LA PROVINCIA DE BUENOS AIRES</w:t>
            </w:r>
          </w:p>
          <w:p>
            <w:pPr>
              <w:pStyle w:val="Normal"/>
              <w:jc w:val="center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MINISTERIO PUBLICO</w:t>
            </w:r>
          </w:p>
        </w:tc>
      </w:tr>
      <w:tr>
        <w:trPr>
          <w:trHeight w:val="240" w:hRule="atLeast"/>
        </w:trPr>
        <w:tc>
          <w:tcPr>
            <w:tcW w:w="1194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612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7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6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5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6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315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>
        <w:trPr>
          <w:trHeight w:val="360" w:hRule="atLeast"/>
        </w:trPr>
        <w:tc>
          <w:tcPr>
            <w:tcW w:w="1806" w:type="dxa"/>
            <w:gridSpan w:val="2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</w:t>
            </w:r>
          </w:p>
        </w:tc>
        <w:tc>
          <w:tcPr>
            <w:tcW w:w="4461" w:type="dxa"/>
            <w:gridSpan w:val="6"/>
            <w:tcBorders>
              <w:top w:val="single" w:sz="8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xl28"/>
              <w:spacing w:before="0" w:after="0"/>
              <w:rPr>
                <w:rFonts w:ascii="Arial" w:hAnsi="Arial" w:eastAsia="Times New Roman"/>
              </w:rPr>
            </w:pPr>
            <w:r>
              <w:rPr>
                <w:rFonts w:eastAsia="Times New Roman" w:ascii="Arial" w:hAnsi="Arial"/>
              </w:rPr>
              <w:t xml:space="preserve">    </w:t>
            </w:r>
            <w:r>
              <w:rPr>
                <w:rFonts w:eastAsia="Times New Roman" w:ascii="Arial" w:hAnsi="Arial"/>
              </w:rPr>
              <w:t>CONTRATACIÓN DIRECTA</w:t>
            </w:r>
          </w:p>
        </w:tc>
        <w:tc>
          <w:tcPr>
            <w:tcW w:w="391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 Unicode MS"/>
                <w:sz w:val="20"/>
              </w:rPr>
            </w:pPr>
            <w:r>
              <w:rPr>
                <w:rFonts w:ascii="Arial" w:hAnsi="Arial"/>
                <w:sz w:val="20"/>
              </w:rPr>
              <w:t>Nº</w:t>
            </w:r>
          </w:p>
        </w:tc>
        <w:tc>
          <w:tcPr>
            <w:tcW w:w="1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900" w:leader="none"/>
              </w:tabs>
              <w:rPr/>
            </w:pPr>
            <w:r>
              <w:rPr>
                <w:rFonts w:eastAsia="Arial Unicode MS" w:ascii="Arial" w:hAnsi="Arial"/>
                <w:sz w:val="20"/>
              </w:rPr>
              <w:t xml:space="preserve">  </w:t>
            </w:r>
            <w:r>
              <w:rPr>
                <w:rFonts w:eastAsia="Arial Unicode MS" w:ascii="Arial" w:hAnsi="Arial"/>
                <w:sz w:val="20"/>
              </w:rPr>
              <w:t>25</w:t>
            </w:r>
          </w:p>
        </w:tc>
        <w:tc>
          <w:tcPr>
            <w:tcW w:w="935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 Unicode MS"/>
                <w:sz w:val="20"/>
              </w:rPr>
            </w:pPr>
            <w:r>
              <w:rPr>
                <w:rFonts w:ascii="Arial" w:hAnsi="Arial"/>
                <w:sz w:val="20"/>
              </w:rPr>
              <w:t>Ejercicio:</w:t>
            </w:r>
          </w:p>
        </w:tc>
        <w:tc>
          <w:tcPr>
            <w:tcW w:w="46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 Unicode MS" w:ascii="Arial" w:hAnsi="Arial"/>
                <w:sz w:val="20"/>
              </w:rPr>
              <w:t>2025</w:t>
            </w:r>
          </w:p>
        </w:tc>
      </w:tr>
      <w:tr>
        <w:trPr>
          <w:trHeight w:val="360" w:hRule="atLeast"/>
        </w:trPr>
        <w:tc>
          <w:tcPr>
            <w:tcW w:w="1806" w:type="dxa"/>
            <w:gridSpan w:val="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</w:t>
            </w:r>
          </w:p>
        </w:tc>
        <w:tc>
          <w:tcPr>
            <w:tcW w:w="7718" w:type="dxa"/>
            <w:gridSpan w:val="10"/>
            <w:tcBorders>
              <w:top w:val="single" w:sz="4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</w:t>
            </w:r>
            <w:r>
              <w:rPr>
                <w:rFonts w:ascii="Arial" w:hAnsi="Arial"/>
                <w:sz w:val="20"/>
              </w:rPr>
              <w:t>ORDEN DE COMPRA CERRADA</w:t>
            </w:r>
          </w:p>
        </w:tc>
      </w:tr>
      <w:tr>
        <w:trPr>
          <w:trHeight w:val="360" w:hRule="atLeast"/>
        </w:trPr>
        <w:tc>
          <w:tcPr>
            <w:tcW w:w="1806" w:type="dxa"/>
            <w:gridSpan w:val="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1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EXPTE. N°</w:t>
            </w:r>
          </w:p>
        </w:tc>
        <w:tc>
          <w:tcPr>
            <w:tcW w:w="7718" w:type="dxa"/>
            <w:gridSpan w:val="10"/>
            <w:tcBorders>
              <w:top w:val="single" w:sz="4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>
                <w:rFonts w:ascii="Arial" w:hAnsi="Arial"/>
                <w:sz w:val="20"/>
              </w:rPr>
              <w:t xml:space="preserve">    </w:t>
            </w:r>
            <w:r>
              <w:rPr>
                <w:rFonts w:ascii="Arial" w:hAnsi="Arial"/>
                <w:sz w:val="20"/>
              </w:rPr>
              <w:t xml:space="preserve">PG.SA.QL  </w:t>
            </w:r>
            <w:r>
              <w:rPr>
                <w:rFonts w:ascii="Arial" w:hAnsi="Arial"/>
                <w:sz w:val="20"/>
              </w:rPr>
              <w:t>25</w:t>
            </w:r>
            <w:r>
              <w:rPr>
                <w:rFonts w:ascii="Arial" w:hAnsi="Arial"/>
                <w:sz w:val="20"/>
              </w:rPr>
              <w:t xml:space="preserve"> - 2025</w:t>
            </w:r>
          </w:p>
        </w:tc>
      </w:tr>
      <w:tr>
        <w:trPr>
          <w:trHeight w:val="315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/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>
        <w:trPr>
          <w:trHeight w:val="360" w:hRule="atLeast"/>
        </w:trPr>
        <w:tc>
          <w:tcPr>
            <w:tcW w:w="9524" w:type="dxa"/>
            <w:gridSpan w:val="1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Limpieza Oficinas en Unidades Carcelarias de Fcio Varela </w:t>
            </w:r>
            <w:r>
              <w:rPr>
                <w:rFonts w:cs="Arial" w:ascii="Arial" w:hAnsi="Arial"/>
                <w:sz w:val="22"/>
                <w:szCs w:val="22"/>
              </w:rPr>
              <w:t>1er. Semestre Año 2026</w:t>
            </w:r>
          </w:p>
        </w:tc>
      </w:tr>
      <w:tr>
        <w:trPr>
          <w:trHeight w:val="240" w:hRule="atLeast"/>
        </w:trPr>
        <w:tc>
          <w:tcPr>
            <w:tcW w:w="1194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612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7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6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5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6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317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b/>
                <w:sz w:val="16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>
        <w:trPr>
          <w:trHeight w:val="317" w:hRule="atLeast"/>
        </w:trPr>
        <w:tc>
          <w:tcPr>
            <w:tcW w:w="9524" w:type="dxa"/>
            <w:gridSpan w:val="12"/>
            <w:tcBorders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ListBullet"/>
              <w:spacing w:before="60" w:after="0"/>
              <w:ind w:hanging="360" w:left="709"/>
              <w:jc w:val="center"/>
              <w:rPr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SERVICIO DE LIMPIEZA DE OFICINAS JUDICIALES EN UNIDADES CARCELARIAS 23, 24, 31, 32, 42 Y 54 DE F. VAREL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A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Periodo Enero – Junio Año 2026.</w:t>
            </w:r>
          </w:p>
        </w:tc>
      </w:tr>
      <w:tr>
        <w:trPr>
          <w:trHeight w:val="360" w:hRule="atLeast"/>
        </w:trPr>
        <w:tc>
          <w:tcPr>
            <w:tcW w:w="9524" w:type="dxa"/>
            <w:gridSpan w:val="1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FFFF00" w:val="clear"/>
            <w:vAlign w:val="bottom"/>
          </w:tcPr>
          <w:p>
            <w:pPr>
              <w:pStyle w:val="Normal"/>
              <w:rPr>
                <w:sz w:val="26"/>
                <w:szCs w:val="26"/>
                <w:highlight w:val="yellow"/>
              </w:rPr>
            </w:pPr>
            <w:r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>
        <w:trPr>
          <w:trHeight w:val="360" w:hRule="atLeast"/>
        </w:trPr>
        <w:tc>
          <w:tcPr>
            <w:tcW w:w="9524" w:type="dxa"/>
            <w:gridSpan w:val="12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cs="Arial"/>
                <w:sz w:val="26"/>
                <w:szCs w:val="26"/>
                <w:highlight w:val="yellow"/>
              </w:rPr>
            </w:pPr>
            <w:r>
              <w:rPr>
                <w:rFonts w:cs="Arial" w:ascii="Arial" w:hAnsi="Arial"/>
                <w:sz w:val="26"/>
                <w:szCs w:val="26"/>
                <w:highlight w:val="yellow"/>
              </w:rPr>
            </w:r>
          </w:p>
        </w:tc>
      </w:tr>
      <w:tr>
        <w:trPr>
          <w:trHeight w:val="225" w:hRule="atLeast"/>
        </w:trPr>
        <w:tc>
          <w:tcPr>
            <w:tcW w:w="1194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612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7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  <w:highlight w:val="yellow"/>
              </w:rPr>
            </w:pPr>
            <w:r>
              <w:rPr>
                <w:rFonts w:eastAsia="Arial Unicode MS" w:ascii="Arial" w:hAnsi="Arial"/>
                <w:sz w:val="16"/>
                <w:highlight w:val="yellow"/>
              </w:rPr>
            </w:r>
          </w:p>
        </w:tc>
        <w:tc>
          <w:tcPr>
            <w:tcW w:w="146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  <w:highlight w:val="yellow"/>
              </w:rPr>
            </w:pPr>
            <w:r>
              <w:rPr>
                <w:rFonts w:eastAsia="Arial Unicode MS" w:ascii="Arial" w:hAnsi="Arial"/>
                <w:sz w:val="16"/>
                <w:highlight w:val="yellow"/>
              </w:rPr>
            </w:r>
          </w:p>
        </w:tc>
        <w:tc>
          <w:tcPr>
            <w:tcW w:w="935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  <w:highlight w:val="yellow"/>
              </w:rPr>
            </w:pPr>
            <w:r>
              <w:rPr>
                <w:rFonts w:eastAsia="Arial Unicode MS" w:ascii="Arial" w:hAnsi="Arial"/>
                <w:sz w:val="16"/>
                <w:highlight w:val="yellow"/>
              </w:rPr>
            </w:r>
          </w:p>
        </w:tc>
        <w:tc>
          <w:tcPr>
            <w:tcW w:w="46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300" w:hRule="atLeast"/>
        </w:trPr>
        <w:tc>
          <w:tcPr>
            <w:tcW w:w="3591" w:type="dxa"/>
            <w:gridSpan w:val="4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97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6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5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6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80" w:hRule="atLeast"/>
        </w:trPr>
        <w:tc>
          <w:tcPr>
            <w:tcW w:w="1194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612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7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6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5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6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408" w:hRule="atLeast"/>
        </w:trPr>
        <w:tc>
          <w:tcPr>
            <w:tcW w:w="5297" w:type="dxa"/>
            <w:gridSpan w:val="6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227" w:type="dxa"/>
            <w:gridSpan w:val="6"/>
            <w:tcBorders>
              <w:top w:val="single" w:sz="8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>
        <w:trPr>
          <w:trHeight w:val="345" w:hRule="atLeast"/>
          <w:cantSplit w:val="true"/>
        </w:trPr>
        <w:tc>
          <w:tcPr>
            <w:tcW w:w="5297" w:type="dxa"/>
            <w:gridSpan w:val="6"/>
            <w:vMerge w:val="restart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CALLE HIPOLITO YRIGOYEN 475, 2do. PISO                                           DE LA CIUDAD DE QUILMES</w:t>
            </w:r>
          </w:p>
        </w:tc>
        <w:tc>
          <w:tcPr>
            <w:tcW w:w="4227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eastAsia="Arial Unicode MS" w:ascii="Arial" w:hAnsi="Arial"/>
                <w:sz w:val="20"/>
                <w:szCs w:val="20"/>
              </w:rPr>
              <w:t>1</w:t>
            </w:r>
            <w:r>
              <w:rPr>
                <w:rFonts w:eastAsia="Arial Unicode MS" w:ascii="Arial" w:hAnsi="Arial"/>
                <w:sz w:val="20"/>
                <w:szCs w:val="20"/>
              </w:rPr>
              <w:t>6</w:t>
            </w:r>
            <w:r>
              <w:rPr>
                <w:rFonts w:eastAsia="Arial Unicode MS" w:ascii="Arial" w:hAnsi="Arial"/>
                <w:sz w:val="20"/>
                <w:szCs w:val="20"/>
              </w:rPr>
              <w:t xml:space="preserve"> de Diciembre de 2025 a las 10:00 hs.</w:t>
            </w:r>
          </w:p>
        </w:tc>
      </w:tr>
      <w:tr>
        <w:trPr>
          <w:trHeight w:val="345" w:hRule="atLeast"/>
          <w:cantSplit w:val="true"/>
        </w:trPr>
        <w:tc>
          <w:tcPr>
            <w:tcW w:w="5297" w:type="dxa"/>
            <w:gridSpan w:val="6"/>
            <w:vMerge w:val="continue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227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675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>
        <w:trPr>
          <w:trHeight w:val="1289" w:hRule="atLeast"/>
        </w:trPr>
        <w:tc>
          <w:tcPr>
            <w:tcW w:w="9524" w:type="dxa"/>
            <w:gridSpan w:val="1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Pasada dicha hora y conforme lo estatuido por el Artículo 17 apartado 4 de la Ley 13.981 y del Decreto Reglamentario N°59 /19, no se admitirán nuevas propuestas, aun cuando no hubiera comenzado la apertura de los sobres y se procederá de la siguiente manera:</w:t>
              <w:br/>
              <w:t>a. Los sobres o paquetes conteniendo las Ofertas, serán abiertos en presencia de los Oferentes que concurran;</w:t>
              <w:br/>
              <w:t>b. La Delegación de Administración labrará el Acta de Apertura;</w:t>
              <w:br/>
              <w:t>c. En la misma se dejará constancia del monto total de cada Oferta, y del monto y modalidad de la Garantía de Mantenimiento de Oferta.</w:t>
            </w:r>
          </w:p>
        </w:tc>
      </w:tr>
      <w:tr>
        <w:trPr>
          <w:trHeight w:val="225" w:hRule="atLeast"/>
        </w:trPr>
        <w:tc>
          <w:tcPr>
            <w:tcW w:w="1194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612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7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6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5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6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300" w:hRule="atLeast"/>
          <w:cantSplit w:val="true"/>
        </w:trPr>
        <w:tc>
          <w:tcPr>
            <w:tcW w:w="3591" w:type="dxa"/>
            <w:gridSpan w:val="4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97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6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5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6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240" w:hRule="atLeast"/>
        </w:trPr>
        <w:tc>
          <w:tcPr>
            <w:tcW w:w="1194" w:type="dxa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612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7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6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5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6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315" w:hRule="atLeast"/>
        </w:trPr>
        <w:tc>
          <w:tcPr>
            <w:tcW w:w="5297" w:type="dxa"/>
            <w:gridSpan w:val="6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227" w:type="dxa"/>
            <w:gridSpan w:val="6"/>
            <w:tcBorders>
              <w:top w:val="single" w:sz="8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>
        <w:trPr>
          <w:trHeight w:val="345" w:hRule="atLeast"/>
          <w:cantSplit w:val="true"/>
        </w:trPr>
        <w:tc>
          <w:tcPr>
            <w:tcW w:w="5297" w:type="dxa"/>
            <w:gridSpan w:val="6"/>
            <w:vMerge w:val="restart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>CALLE HIPOLITO YRIGOYEN 475, 2do. PISO                                           DE LA CIUDAD DE QUILMES</w:t>
            </w:r>
          </w:p>
        </w:tc>
        <w:tc>
          <w:tcPr>
            <w:tcW w:w="4227" w:type="dxa"/>
            <w:gridSpan w:val="6"/>
            <w:vMerge w:val="restart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Fonts w:eastAsia="Arial Unicode MS" w:ascii="Arial" w:hAnsi="Arial"/>
                <w:sz w:val="20"/>
                <w:szCs w:val="20"/>
              </w:rPr>
              <w:t>1</w:t>
            </w:r>
            <w:r>
              <w:rPr>
                <w:rFonts w:eastAsia="Arial Unicode MS" w:ascii="Arial" w:hAnsi="Arial"/>
                <w:sz w:val="20"/>
                <w:szCs w:val="20"/>
              </w:rPr>
              <w:t>6</w:t>
            </w:r>
            <w:r>
              <w:rPr>
                <w:rFonts w:eastAsia="Arial Unicode MS" w:ascii="Arial" w:hAnsi="Arial"/>
                <w:sz w:val="20"/>
                <w:szCs w:val="20"/>
              </w:rPr>
              <w:t xml:space="preserve"> de Diciembre de 2025 a las 10:00 hs.</w:t>
            </w:r>
          </w:p>
        </w:tc>
      </w:tr>
      <w:tr>
        <w:trPr>
          <w:trHeight w:val="345" w:hRule="atLeast"/>
          <w:cantSplit w:val="true"/>
        </w:trPr>
        <w:tc>
          <w:tcPr>
            <w:tcW w:w="5297" w:type="dxa"/>
            <w:gridSpan w:val="6"/>
            <w:vMerge w:val="continue"/>
            <w:tcBorders>
              <w:top w:val="single" w:sz="4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227" w:type="dxa"/>
            <w:gridSpan w:val="6"/>
            <w:vMerge w:val="continue"/>
            <w:tcBorders>
              <w:top w:val="single" w:sz="4" w:space="0" w:color="00000A"/>
              <w:left w:val="single" w:sz="4" w:space="0" w:color="00000A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300" w:hRule="atLeast"/>
        </w:trPr>
        <w:tc>
          <w:tcPr>
            <w:tcW w:w="3591" w:type="dxa"/>
            <w:gridSpan w:val="4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97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6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5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6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230" w:hRule="atLeast"/>
          <w:cantSplit w:val="true"/>
        </w:trPr>
        <w:tc>
          <w:tcPr>
            <w:tcW w:w="1806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718" w:type="dxa"/>
            <w:gridSpan w:val="10"/>
            <w:vMerge w:val="restar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DE ACUERDO ART. 23  DE LA LEY  N°13.981 Y DECRETO REGLAMENTARIO N°59 /19, Y PLIEGO DE BASES Y CONDICIONES PARTICULARES.</w:t>
            </w:r>
          </w:p>
        </w:tc>
      </w:tr>
      <w:tr>
        <w:trPr>
          <w:trHeight w:val="345" w:hRule="atLeast"/>
          <w:cantSplit w:val="true"/>
        </w:trPr>
        <w:tc>
          <w:tcPr>
            <w:tcW w:w="1806" w:type="dxa"/>
            <w:gridSpan w:val="2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eastAsia="Arial Unicode MS" w:ascii="Arial" w:hAnsi="Arial"/>
                <w:b/>
                <w:sz w:val="20"/>
              </w:rPr>
            </w:r>
          </w:p>
        </w:tc>
        <w:tc>
          <w:tcPr>
            <w:tcW w:w="7718" w:type="dxa"/>
            <w:gridSpan w:val="10"/>
            <w:vMerge w:val="continue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230" w:hRule="atLeast"/>
          <w:cantSplit w:val="true"/>
        </w:trPr>
        <w:tc>
          <w:tcPr>
            <w:tcW w:w="1806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718" w:type="dxa"/>
            <w:gridSpan w:val="10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DE ACUERDO AL ART. 4  DEL PLIEGO DE BASES Y CONDICIONES.</w:t>
            </w:r>
          </w:p>
        </w:tc>
      </w:tr>
      <w:tr>
        <w:trPr>
          <w:trHeight w:val="230" w:hRule="atLeast"/>
          <w:cantSplit w:val="true"/>
        </w:trPr>
        <w:tc>
          <w:tcPr>
            <w:tcW w:w="1806" w:type="dxa"/>
            <w:gridSpan w:val="2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de Contratación</w:t>
            </w:r>
          </w:p>
        </w:tc>
        <w:tc>
          <w:tcPr>
            <w:tcW w:w="7718" w:type="dxa"/>
            <w:gridSpan w:val="10"/>
            <w:vMerge w:val="restar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  <w:t xml:space="preserve"> </w:t>
            </w:r>
            <w:r>
              <w:rPr>
                <w:rFonts w:eastAsia="Arial Unicode MS" w:ascii="Arial" w:hAnsi="Arial"/>
                <w:sz w:val="16"/>
              </w:rPr>
              <w:t>EN UN TODO DE ACUERDO CON EL PUNTO 09 DEL PLIEGO DE BASES Y CONDICIONES.</w:t>
            </w:r>
          </w:p>
        </w:tc>
      </w:tr>
      <w:tr>
        <w:trPr>
          <w:trHeight w:val="300" w:hRule="atLeast"/>
          <w:cantSplit w:val="true"/>
        </w:trPr>
        <w:tc>
          <w:tcPr>
            <w:tcW w:w="1806" w:type="dxa"/>
            <w:gridSpan w:val="2"/>
            <w:vMerge w:val="continue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eastAsia="Arial Unicode MS" w:ascii="Arial" w:hAnsi="Arial"/>
                <w:b/>
                <w:sz w:val="20"/>
              </w:rPr>
            </w:r>
          </w:p>
        </w:tc>
        <w:tc>
          <w:tcPr>
            <w:tcW w:w="7718" w:type="dxa"/>
            <w:gridSpan w:val="10"/>
            <w:vMerge w:val="continue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230" w:hRule="atLeast"/>
          <w:cantSplit w:val="true"/>
        </w:trPr>
        <w:tc>
          <w:tcPr>
            <w:tcW w:w="1806" w:type="dxa"/>
            <w:gridSpan w:val="2"/>
            <w:vMerge w:val="restart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FFFF00" w:val="clear"/>
            <w:vAlign w:val="center"/>
          </w:tcPr>
          <w:p>
            <w:pPr>
              <w:pStyle w:val="Normal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de Servicio</w:t>
            </w:r>
          </w:p>
        </w:tc>
        <w:tc>
          <w:tcPr>
            <w:tcW w:w="7718" w:type="dxa"/>
            <w:gridSpan w:val="10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</w:tcPr>
          <w:p>
            <w:pPr>
              <w:pStyle w:val="Normal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/>
                <w:sz w:val="16"/>
              </w:rPr>
              <w:t>EN UN TODO DE ACUERDO CON EL PUNTO 08  DEL PLIEGO DE BASES Y CONDICIONES</w:t>
            </w:r>
          </w:p>
        </w:tc>
      </w:tr>
      <w:tr>
        <w:trPr>
          <w:trHeight w:val="270" w:hRule="atLeast"/>
          <w:cantSplit w:val="true"/>
        </w:trPr>
        <w:tc>
          <w:tcPr>
            <w:tcW w:w="1806" w:type="dxa"/>
            <w:gridSpan w:val="2"/>
            <w:vMerge w:val="continue"/>
            <w:tcBorders>
              <w:top w:val="single" w:sz="8" w:space="0" w:color="000001"/>
              <w:left w:val="single" w:sz="8" w:space="0" w:color="00000A"/>
              <w:bottom w:val="single" w:sz="8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b/>
                <w:sz w:val="20"/>
              </w:rPr>
            </w:pPr>
            <w:r>
              <w:rPr>
                <w:rFonts w:eastAsia="Arial Unicode MS" w:ascii="Arial" w:hAnsi="Arial"/>
                <w:b/>
                <w:sz w:val="20"/>
              </w:rPr>
            </w:r>
          </w:p>
        </w:tc>
        <w:tc>
          <w:tcPr>
            <w:tcW w:w="7718" w:type="dxa"/>
            <w:gridSpan w:val="10"/>
            <w:vMerge w:val="continue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319" w:hRule="atLeast"/>
          <w:cantSplit w:val="true"/>
        </w:trPr>
        <w:tc>
          <w:tcPr>
            <w:tcW w:w="3591" w:type="dxa"/>
            <w:gridSpan w:val="4"/>
            <w:tcBorders>
              <w:lef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 GENERALES</w:t>
            </w:r>
          </w:p>
        </w:tc>
        <w:tc>
          <w:tcPr>
            <w:tcW w:w="97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8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7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66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5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65" w:type="dxa"/>
            <w:tcBorders>
              <w:left w:val="single" w:sz="8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  <w:tr>
        <w:trPr>
          <w:trHeight w:val="557" w:hRule="atLeast"/>
        </w:trPr>
        <w:tc>
          <w:tcPr>
            <w:tcW w:w="1194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b/>
                <w:sz w:val="16"/>
                <w:u w:val="single"/>
              </w:rPr>
            </w:pPr>
            <w:r>
              <w:rPr>
                <w:rFonts w:eastAsia="Arial Unicode MS" w:ascii="Arial" w:hAnsi="Arial"/>
                <w:b/>
                <w:sz w:val="16"/>
                <w:u w:val="single"/>
              </w:rPr>
            </w:r>
          </w:p>
        </w:tc>
        <w:tc>
          <w:tcPr>
            <w:tcW w:w="612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44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41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78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8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727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243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391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1466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935" w:type="dxa"/>
            <w:tcBorders>
              <w:top w:val="single" w:sz="4" w:space="0" w:color="00000A"/>
              <w:bottom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  <w:tc>
          <w:tcPr>
            <w:tcW w:w="465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color="auto" w:fill="auto" w:val="clear"/>
            <w:vAlign w:val="bottom"/>
          </w:tcPr>
          <w:p>
            <w:pPr>
              <w:pStyle w:val="Normal"/>
              <w:rPr>
                <w:rFonts w:ascii="Arial" w:hAnsi="Arial" w:eastAsia="Arial Unicode MS"/>
                <w:sz w:val="16"/>
              </w:rPr>
            </w:pPr>
            <w:r>
              <w:rPr>
                <w:rFonts w:eastAsia="Arial Unicode MS" w:ascii="Arial" w:hAnsi="Arial"/>
                <w:sz w:val="16"/>
              </w:rPr>
            </w:r>
          </w:p>
        </w:tc>
      </w:tr>
    </w:tbl>
    <w:p>
      <w:pPr>
        <w:pStyle w:val="Normal"/>
        <w:ind w:left="454"/>
        <w:rPr/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 Unicode MS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val="bestFit" w:percent="146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s-A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s-A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61e1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es-E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xtodegloboCar" w:customStyle="1">
    <w:name w:val="Texto de globo Car"/>
    <w:basedOn w:val="DefaultParagraphFont"/>
    <w:link w:val="BalloonText"/>
    <w:uiPriority w:val="99"/>
    <w:semiHidden/>
    <w:qFormat/>
    <w:rsid w:val="009357a7"/>
    <w:rPr>
      <w:rFonts w:ascii="Segoe UI" w:hAnsi="Segoe UI" w:eastAsia="Times New Roman" w:cs="Segoe UI"/>
      <w:sz w:val="18"/>
      <w:szCs w:val="18"/>
      <w:lang w:val="es-ES" w:eastAsia="es-ES"/>
    </w:rPr>
  </w:style>
  <w:style w:type="paragraph" w:styleId="Ttulo" w:customStyle="1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ndice" w:customStyle="1">
    <w:name w:val="Índice"/>
    <w:basedOn w:val="Normal"/>
    <w:qFormat/>
    <w:pPr>
      <w:suppressLineNumbers/>
    </w:pPr>
    <w:rPr>
      <w:rFonts w:cs="Arial"/>
    </w:rPr>
  </w:style>
  <w:style w:type="paragraph" w:styleId="xl28" w:customStyle="1">
    <w:name w:val="xl28"/>
    <w:basedOn w:val="Normal"/>
    <w:qFormat/>
    <w:rsid w:val="00f61e1c"/>
    <w:pPr>
      <w:spacing w:beforeAutospacing="1" w:afterAutospacing="1"/>
    </w:pPr>
    <w:rPr>
      <w:rFonts w:ascii="Arial Unicode MS" w:hAnsi="Arial Unicode MS" w:eastAsia="Arial Unicode MS" w:cs="Arial Unicode MS"/>
      <w:sz w:val="20"/>
      <w:szCs w:val="20"/>
    </w:rPr>
  </w:style>
  <w:style w:type="paragraph" w:styleId="BalloonText">
    <w:name w:val="Balloon Text"/>
    <w:basedOn w:val="Normal"/>
    <w:link w:val="TextodegloboCar"/>
    <w:uiPriority w:val="99"/>
    <w:semiHidden/>
    <w:unhideWhenUsed/>
    <w:qFormat/>
    <w:rsid w:val="009357a7"/>
    <w:pPr/>
    <w:rPr>
      <w:rFonts w:ascii="Segoe UI" w:hAnsi="Segoe UI" w:cs="Segoe UI"/>
      <w:sz w:val="18"/>
      <w:szCs w:val="18"/>
    </w:rPr>
  </w:style>
  <w:style w:type="paragraph" w:styleId="Contenidodelmarco" w:customStyle="1">
    <w:name w:val="Contenido del marco"/>
    <w:basedOn w:val="Normal"/>
    <w:qFormat/>
    <w:pPr/>
    <w:rPr/>
  </w:style>
  <w:style w:type="paragraph" w:styleId="Contenidodelatabla" w:customStyle="1">
    <w:name w:val="Contenido de la tabla"/>
    <w:basedOn w:val="Normal"/>
    <w:qFormat/>
    <w:pPr/>
    <w:rPr/>
  </w:style>
  <w:style w:type="paragraph" w:styleId="Ttulodelatabla" w:customStyle="1">
    <w:name w:val="Título de la tabla"/>
    <w:basedOn w:val="Contenidodelatabla"/>
    <w:qFormat/>
    <w:pPr/>
    <w:rPr/>
  </w:style>
  <w:style w:type="paragraph" w:styleId="ListBullet">
    <w:name w:val="List Bullet"/>
    <w:basedOn w:val="Normal"/>
    <w:qFormat/>
    <w:pPr>
      <w:spacing w:before="60" w:after="0"/>
      <w:ind w:left="851"/>
      <w:jc w:val="both"/>
    </w:pPr>
    <w:rPr>
      <w:rFonts w:ascii="Arial" w:hAnsi="Arial"/>
      <w:szCs w:val="20"/>
      <w:lang w:eastAsia="ar-SA"/>
    </w:rPr>
  </w:style>
  <w:style w:type="numbering" w:styleId="Ningunalista" w:customStyle="1">
    <w:name w:val="Ninguna lista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LibreOffice/24.2.6.2$Windows_X86_64 LibreOffice_project/ef66aa7e36a1bb8e65bfbc63aba53045a14d0871</Application>
  <AppVersion>15.0000</AppVersion>
  <Pages>1</Pages>
  <Words>346</Words>
  <Characters>1762</Characters>
  <CharactersWithSpaces>2176</CharactersWithSpaces>
  <Paragraphs>43</Paragraphs>
  <Company>MPBA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2025-12-10T16:31:00Z</dcterms:created>
  <dc:creator>Erica Olaverria</dc:creator>
  <dc:description/>
  <dc:language>es-AR</dc:language>
  <cp:lastModifiedBy/>
  <dcterms:modified xsi:type="dcterms:W3CDTF">2025-12-11T11:28:21Z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